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color w:val="1F4D78"/>
          <w:sz w:val="48"/>
        </w:rPr>
        <w:t>Datenschutzerklärung TeamSet</w:t>
      </w:r>
    </w:p>
    <w:p>
      <w:pPr>
        <w:spacing w:after="280"/>
      </w:pPr>
      <w:r>
        <w:rPr>
          <w:rFonts w:ascii="Calibri" w:hAnsi="Calibri"/>
          <w:color w:val="5A626C"/>
          <w:sz w:val="26"/>
        </w:rPr>
        <w:t>Informationen nach Art. 13 und 14 DSGVO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Produkt</w:t>
            </w:r>
          </w:p>
        </w:tc>
        <w:tc>
          <w:tcPr>
            <w:tcW w:type="dxa" w:w="7560"/>
            <w:vAlign w:val="center"/>
          </w:tcPr>
          <w:p>
            <w:r>
              <w:t>TeamSet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Stand</w:t>
            </w:r>
          </w:p>
        </w:tc>
        <w:tc>
          <w:tcPr>
            <w:tcW w:type="dxa" w:w="7560"/>
            <w:vAlign w:val="center"/>
          </w:tcPr>
          <w:p>
            <w:r>
              <w:t>24.08.2026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Verantwortlich</w:t>
            </w:r>
          </w:p>
        </w:tc>
        <w:tc>
          <w:tcPr>
            <w:tcW w:type="dxa" w:w="7560"/>
            <w:vAlign w:val="center"/>
          </w:tcPr>
          <w:p>
            <w:r>
              <w:t>Marcos Caprile Santos, handelnd unter MinutMate</w:t>
            </w:r>
          </w:p>
        </w:tc>
      </w:tr>
    </w:tbl>
    <w:p/>
    <w:p>
      <w:pPr>
        <w:pStyle w:val="Heading1"/>
      </w:pPr>
      <w:r>
        <w:t>1. Verantwortlicher</w:t>
      </w:r>
    </w:p>
    <w:p>
      <w:r>
        <w:t>Verantwortlich für TeamSet ist Marcos Caprile Santos, handelnd unter MinutMate, Heltorfer Mark 131, 40489 Düsseldorf, Deutschland. Datenschutzanfragen: datenschutz@minutmate.com. Der Datenschutzkontakt ist keine Bezeichnung eines gesetzlich bestellten Datenschutzbeauftragten.</w:t>
      </w:r>
    </w:p>
    <w:p>
      <w:pPr>
        <w:pStyle w:val="Heading1"/>
      </w:pPr>
      <w:r>
        <w:t>2. Verarbeitete Daten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blHeader w:val="true"/>
        </w:trPr>
        <w:tc>
          <w:tcPr>
            <w:tcW w:type="dxa" w:w="2500"/>
            <w:shd w:fill="F2F4F7"/>
          </w:tcPr>
          <w:p>
            <w:r>
              <w:rPr>
                <w:b/>
              </w:rPr>
              <w:t>Kategorie</w:t>
            </w:r>
          </w:p>
        </w:tc>
        <w:tc>
          <w:tcPr>
            <w:tcW w:type="dxa" w:w="6860"/>
            <w:shd w:fill="F2F4F7"/>
          </w:tcPr>
          <w:p>
            <w:r>
              <w:rPr>
                <w:b/>
              </w:rPr>
              <w:t>Beispiele</w:t>
            </w:r>
          </w:p>
        </w:tc>
      </w:tr>
      <w:tr>
        <w:tc>
          <w:tcPr>
            <w:tcW w:type="dxa" w:w="2500"/>
            <w:vAlign w:val="center"/>
          </w:tcPr>
          <w:p>
            <w:r>
              <w:t>Konto</w:t>
            </w:r>
          </w:p>
        </w:tc>
        <w:tc>
          <w:tcPr>
            <w:tcW w:type="dxa" w:w="6860"/>
            <w:vAlign w:val="center"/>
          </w:tcPr>
          <w:p>
            <w:r>
              <w:t>Name, Login-E-Mail, Passwort-Hash, Verifizierungs- und Akzeptanzstatus</w:t>
            </w:r>
          </w:p>
        </w:tc>
      </w:tr>
      <w:tr>
        <w:tc>
          <w:tcPr>
            <w:tcW w:type="dxa" w:w="2500"/>
            <w:vAlign w:val="center"/>
          </w:tcPr>
          <w:p>
            <w:r>
              <w:t>Kontakt</w:t>
            </w:r>
          </w:p>
        </w:tc>
        <w:tc>
          <w:tcPr>
            <w:tcW w:type="dxa" w:w="6860"/>
            <w:vAlign w:val="center"/>
          </w:tcPr>
          <w:p>
            <w:r>
              <w:t>optionale Telefonnummer; Kennzeichnung eigener Kontakt oder Elternkontakt</w:t>
            </w:r>
          </w:p>
        </w:tc>
      </w:tr>
      <w:tr>
        <w:tc>
          <w:tcPr>
            <w:tcW w:type="dxa" w:w="2500"/>
            <w:vAlign w:val="center"/>
          </w:tcPr>
          <w:p>
            <w:r>
              <w:t>Verein und Team</w:t>
            </w:r>
          </w:p>
        </w:tc>
        <w:tc>
          <w:tcPr>
            <w:tcW w:type="dxa" w:w="6860"/>
            <w:vAlign w:val="center"/>
          </w:tcPr>
          <w:p>
            <w:r>
              <w:t>Clubs, Teams, Rollen, Funktionen, Rückennummer, Mitgliedschaftsverlauf</w:t>
            </w:r>
          </w:p>
        </w:tc>
      </w:tr>
      <w:tr>
        <w:tc>
          <w:tcPr>
            <w:tcW w:type="dxa" w:w="2500"/>
            <w:vAlign w:val="center"/>
          </w:tcPr>
          <w:p>
            <w:r>
              <w:t>Planung</w:t>
            </w:r>
          </w:p>
        </w:tc>
        <w:tc>
          <w:tcPr>
            <w:tcW w:type="dxa" w:w="6860"/>
            <w:vAlign w:val="center"/>
          </w:tcPr>
          <w:p>
            <w:r>
              <w:t>Termine, Serien, Orte, Teilnahme, optionale Absagegründe, Team-Informationen</w:t>
            </w:r>
          </w:p>
        </w:tc>
      </w:tr>
      <w:tr>
        <w:tc>
          <w:tcPr>
            <w:tcW w:type="dxa" w:w="2500"/>
            <w:vAlign w:val="center"/>
          </w:tcPr>
          <w:p>
            <w:r>
              <w:t>Gerät und Sicherheit</w:t>
            </w:r>
          </w:p>
        </w:tc>
        <w:tc>
          <w:tcPr>
            <w:tcW w:type="dxa" w:w="6860"/>
            <w:vAlign w:val="center"/>
          </w:tcPr>
          <w:p>
            <w:r>
              <w:t>Gerätekennung, Sitzung, Push-Token, gekürzte Protokoll- und Auditdaten</w:t>
            </w:r>
          </w:p>
        </w:tc>
      </w:tr>
      <w:tr>
        <w:tc>
          <w:tcPr>
            <w:tcW w:type="dxa" w:w="2500"/>
            <w:vAlign w:val="center"/>
          </w:tcPr>
          <w:p>
            <w:r>
              <w:t>Medien und Kommunikation</w:t>
            </w:r>
          </w:p>
        </w:tc>
        <w:tc>
          <w:tcPr>
            <w:tcW w:type="dxa" w:w="6860"/>
            <w:vAlign w:val="center"/>
          </w:tcPr>
          <w:p>
            <w:r>
              <w:t>Profilbild, Vereinslogo, Mannschaftsbild, E-Mail- und Push-Zustellung</w:t>
            </w:r>
          </w:p>
        </w:tc>
      </w:tr>
    </w:tbl>
    <w:p/>
    <w:p>
      <w:pPr>
        <w:pStyle w:val="Heading1"/>
      </w:pPr>
      <w:r>
        <w:t>3. Zwecke und Rechtsgrundlagen</w:t>
      </w:r>
    </w:p>
    <w:p>
      <w:pPr>
        <w:pStyle w:val="ListBullet"/>
        <w:spacing w:after="160"/>
        <w:ind w:left="720" w:hanging="360"/>
      </w:pPr>
      <w:r>
        <w:t>Bereitstellung von Accounts, Vereins- und Teamverwaltung sowie rollenabhängigen Zugriffen (Art. 6 Abs. 1 Buchst. b DSGVO).</w:t>
      </w:r>
    </w:p>
    <w:p>
      <w:pPr>
        <w:pStyle w:val="ListBullet"/>
        <w:spacing w:after="160"/>
        <w:ind w:left="720" w:hanging="360"/>
      </w:pPr>
      <w:r>
        <w:t>Sichere Anmeldung, Missbrauchsabwehr, Fehleranalyse und Rechtsdurchsetzung (Art. 6 Abs. 1 Buchst. f DSGVO).</w:t>
      </w:r>
    </w:p>
    <w:p>
      <w:pPr>
        <w:pStyle w:val="ListBullet"/>
        <w:spacing w:after="160"/>
        <w:ind w:left="720" w:hanging="360"/>
      </w:pPr>
      <w:r>
        <w:t>Erfüllung gesetzlicher handels-, steuer- und datenschutzrechtlicher Pflichten (Art. 6 Abs. 1 Buchst. c DSGVO).</w:t>
      </w:r>
    </w:p>
    <w:p>
      <w:pPr>
        <w:pStyle w:val="ListBullet"/>
        <w:spacing w:after="160"/>
        <w:ind w:left="720" w:hanging="360"/>
      </w:pPr>
      <w:r>
        <w:t>Optionale Angaben und Benachrichtigungseinstellungen werden vom Nutzer gesteuert; soweit erforderlich wird eine Einwilligung nach Art. 6 Abs. 1 Buchst. a DSGVO eingeholt.</w:t>
      </w:r>
    </w:p>
    <w:p>
      <w:pPr>
        <w:pStyle w:val="Heading1"/>
      </w:pPr>
      <w:r>
        <w:t>4. Sichtbarkeit im Verein</w:t>
      </w:r>
    </w:p>
    <w:p>
      <w:r>
        <w:t>Login-E-Mail, Passwort-Hash, Sitzungen und interne Sicherheitsdaten sind nicht für Vereinsmitglieder sichtbar. Telefonnummern sind auf aktive gemeinsame Teammitglieder, zuständige Trainer und Vereinsadmins begrenzt. Private Absagegründe sehen nur zuständige Trainer und Vereinsadmins.</w:t>
      </w:r>
    </w:p>
    <w:p>
      <w:pPr>
        <w:pStyle w:val="Heading1"/>
      </w:pPr>
      <w:r>
        <w:t>5. Empfänger und Dienstleister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360"/>
      </w:tblGrid>
      <w:tr>
        <w:trPr>
          <w:tblHeader w:val="true"/>
        </w:trPr>
        <w:tc>
          <w:tcPr>
            <w:tcW w:type="dxa" w:w="3000"/>
            <w:shd w:fill="F2F4F7"/>
          </w:tcPr>
          <w:p>
            <w:r>
              <w:rPr>
                <w:b/>
              </w:rPr>
              <w:t>Dienstleister</w:t>
            </w:r>
          </w:p>
        </w:tc>
        <w:tc>
          <w:tcPr>
            <w:tcW w:type="dxa" w:w="6360"/>
            <w:shd w:fill="F2F4F7"/>
          </w:tcPr>
          <w:p>
            <w:r>
              <w:rPr>
                <w:b/>
              </w:rPr>
              <w:t>Aufgabe / Daten</w:t>
            </w:r>
          </w:p>
        </w:tc>
      </w:tr>
      <w:tr>
        <w:tc>
          <w:tcPr>
            <w:tcW w:type="dxa" w:w="3000"/>
            <w:vAlign w:val="center"/>
          </w:tcPr>
          <w:p>
            <w:r>
              <w:t>ALL-INKL.COM – Neue Medien Münnich</w:t>
            </w:r>
          </w:p>
        </w:tc>
        <w:tc>
          <w:tcPr>
            <w:tcW w:type="dxa" w:w="6360"/>
            <w:vAlign w:val="center"/>
          </w:tcPr>
          <w:p>
            <w:r>
              <w:t>Domain, E-Mail, MariaDB und DNS; Konten-, Vereins- und Planungsdaten</w:t>
            </w:r>
          </w:p>
        </w:tc>
      </w:tr>
      <w:tr>
        <w:tc>
          <w:tcPr>
            <w:tcW w:type="dxa" w:w="3000"/>
            <w:vAlign w:val="center"/>
          </w:tcPr>
          <w:p>
            <w:r>
              <w:t>Railway Corporation</w:t>
            </w:r>
          </w:p>
        </w:tc>
        <w:tc>
          <w:tcPr>
            <w:tcW w:type="dxa" w:w="6360"/>
            <w:vAlign w:val="center"/>
          </w:tcPr>
          <w:p>
            <w:r>
              <w:t>API, Echtzeitverbindungen, Hintergrundverarbeitung und verschlüsselte Medienablage; Region EU West/Amsterdam</w:t>
            </w:r>
          </w:p>
        </w:tc>
      </w:tr>
      <w:tr>
        <w:tc>
          <w:tcPr>
            <w:tcW w:type="dxa" w:w="3000"/>
            <w:vAlign w:val="center"/>
          </w:tcPr>
          <w:p>
            <w:r>
              <w:t>Vercel Inc.</w:t>
            </w:r>
          </w:p>
        </w:tc>
        <w:tc>
          <w:tcPr>
            <w:tcW w:type="dxa" w:w="6360"/>
            <w:vAlign w:val="center"/>
          </w:tcPr>
          <w:p>
            <w:r>
              <w:t>öffentliche Webseite und technische Abrufprotokolle</w:t>
            </w:r>
          </w:p>
        </w:tc>
      </w:tr>
      <w:tr>
        <w:tc>
          <w:tcPr>
            <w:tcW w:type="dxa" w:w="3000"/>
            <w:vAlign w:val="center"/>
          </w:tcPr>
          <w:p>
            <w:r>
              <w:t>Resend Inc.</w:t>
            </w:r>
          </w:p>
        </w:tc>
        <w:tc>
          <w:tcPr>
            <w:tcW w:type="dxa" w:w="6360"/>
            <w:vAlign w:val="center"/>
          </w:tcPr>
          <w:p>
            <w:r>
              <w:t>transaktionale E-Mails, Zustell- und Bounce-Metadaten</w:t>
            </w:r>
          </w:p>
        </w:tc>
      </w:tr>
      <w:tr>
        <w:tc>
          <w:tcPr>
            <w:tcW w:type="dxa" w:w="3000"/>
            <w:vAlign w:val="center"/>
          </w:tcPr>
          <w:p>
            <w:r>
              <w:t>Google/Firebase</w:t>
            </w:r>
          </w:p>
        </w:tc>
        <w:tc>
          <w:tcPr>
            <w:tcW w:type="dxa" w:w="6360"/>
            <w:vAlign w:val="center"/>
          </w:tcPr>
          <w:p>
            <w:r>
              <w:t>Push-Token, App-Kennung und Push-Zustellung</w:t>
            </w:r>
          </w:p>
        </w:tc>
      </w:tr>
      <w:tr>
        <w:tc>
          <w:tcPr>
            <w:tcW w:type="dxa" w:w="3000"/>
            <w:vAlign w:val="center"/>
          </w:tcPr>
          <w:p>
            <w:r>
              <w:t>Apple und Google</w:t>
            </w:r>
          </w:p>
        </w:tc>
        <w:tc>
          <w:tcPr>
            <w:tcW w:type="dxa" w:w="6360"/>
            <w:vAlign w:val="center"/>
          </w:tcPr>
          <w:p>
            <w:r>
              <w:t>App-Verteilung und plattformbezogene Push-Infrastruktur</w:t>
            </w:r>
          </w:p>
        </w:tc>
      </w:tr>
    </w:tbl>
    <w:p/>
    <w:p>
      <w:r>
        <w:t>Soweit Empfänger außerhalb des EWR zugreifen können, erfolgt die Übermittlung nur auf Grundlage eines Angemessenheitsbeschlusses, geeigneter Garantien wie EU-Standardvertragsklauseln oder einer gesetzlichen Ausnahme.</w:t>
      </w:r>
    </w:p>
    <w:p>
      <w:pPr>
        <w:pStyle w:val="Heading1"/>
      </w:pPr>
      <w:r>
        <w:t>6. Speicherdauer und Löschung</w:t>
      </w:r>
    </w:p>
    <w:p>
      <w:pPr>
        <w:pStyle w:val="ListBullet"/>
        <w:spacing w:after="160"/>
        <w:ind w:left="720" w:hanging="360"/>
      </w:pPr>
      <w:r>
        <w:t>Accountlöschung: sofortige Deaktivierung und Sitzungsbeendigung; nach 14 Tagen Entfernung oder Anonymisierung identifizierender Daten.</w:t>
      </w:r>
    </w:p>
    <w:p>
      <w:pPr>
        <w:pStyle w:val="ListBullet"/>
        <w:spacing w:after="160"/>
        <w:ind w:left="720" w:hanging="360"/>
      </w:pPr>
      <w:r>
        <w:t>Historische Teilnahme bleibt nur mit neutralem Anzeigenamen und ohne Kontakt- oder Absagegrund erhalten, soweit dies für die nachvollziehbare Vereinsorganisation erforderlich ist.</w:t>
      </w:r>
    </w:p>
    <w:p>
      <w:pPr>
        <w:pStyle w:val="ListBullet"/>
        <w:spacing w:after="160"/>
        <w:ind w:left="720" w:hanging="360"/>
      </w:pPr>
      <w:r>
        <w:t>Sitzungen laufen spätestens nach 90 Tagen ab; Einmaltokens und Einladungen werden nach Ablauf beziehungsweise Nutzung bereinigt.</w:t>
      </w:r>
    </w:p>
    <w:p>
      <w:pPr>
        <w:pStyle w:val="ListBullet"/>
        <w:spacing w:after="160"/>
        <w:ind w:left="720" w:hanging="360"/>
      </w:pPr>
      <w:r>
        <w:t>Gelöschte Medien werden technisch markiert und durch den täglichen Bereinigungslauf endgültig entfernt; fehlgeschlagene Löschungen werden erneut versucht.</w:t>
      </w:r>
    </w:p>
    <w:p>
      <w:pPr>
        <w:pStyle w:val="ListBullet"/>
        <w:spacing w:after="160"/>
        <w:ind w:left="720" w:hanging="360"/>
      </w:pPr>
      <w:r>
        <w:t>Betriebliche Protokolle werden so kurz wie technisch und sicherheitsbedingt möglich gehalten; eine längere Sicherung erfolgt nur für dokumentierte Sicherheitsfälle.</w:t>
      </w:r>
    </w:p>
    <w:p>
      <w:pPr>
        <w:pStyle w:val="ListBullet"/>
        <w:spacing w:after="160"/>
        <w:ind w:left="720" w:hanging="360"/>
      </w:pPr>
      <w:r>
        <w:t>Vertrags- und Rechnungsunterlagen werden nach den gesetzlichen handels- und steuerrechtlichen Fristen aufbewahrt.</w:t>
      </w:r>
    </w:p>
    <w:p>
      <w:pPr>
        <w:pStyle w:val="Heading1"/>
      </w:pPr>
      <w:r>
        <w:t>7. Minderjährige</w:t>
      </w:r>
    </w:p>
    <w:p>
      <w:r>
        <w:t>TeamSet richtet sich an Vereinsorganisationen und kann minderjährige Mitglieder betreffen. Der Account bildet stets das Mitglied ab; eine Elternadresse oder Elterntelefonnummer kann als Kontakt dienen. TeamSet verlangt dafür kein Geburtsdatum. Verein und Sorgeberechtigte bleiben für erforderliche Freigaben und die zulässige Veröffentlichung von Kontaktdaten oder Bildern verantwortlich.</w:t>
      </w:r>
    </w:p>
    <w:p>
      <w:pPr>
        <w:pStyle w:val="Heading1"/>
      </w:pPr>
      <w:r>
        <w:t>8. Sicherheit</w:t>
      </w:r>
    </w:p>
    <w:p>
      <w:r>
        <w:t>TeamSet verwendet TLS, starke Passwort-Hashes, rotierende Sitzungen, serverseitige Rollenprüfungen, zeitlich begrenzte Einmaltokens, minimierte Auditdaten, validierte und neu kodierte Bilder, signierte Medien-URLs sowie getrennte Produktionsgeheimnisse.</w:t>
      </w:r>
    </w:p>
    <w:p>
      <w:pPr>
        <w:pStyle w:val="Heading1"/>
      </w:pPr>
      <w:r>
        <w:t>9. Rechte</w:t>
      </w:r>
    </w:p>
    <w:p>
      <w:r>
        <w:t>Betroffene Personen können unter den gesetzlichen Voraussetzungen Auskunft, Berichtigung, Löschung, Einschränkung, Datenübertragbarkeit und Widerspruch verlangen sowie eine Einwilligung widerrufen. Anfragen gehen an datenschutz@minutmate.com. Zudem besteht ein Beschwerderecht bei einer Datenschutzaufsichtsbehörde.</w:t>
      </w:r>
    </w:p>
    <w:p>
      <w:pPr>
        <w:pStyle w:val="Heading1"/>
      </w:pPr>
      <w:r>
        <w:t>10. Webseite</w:t>
      </w:r>
    </w:p>
    <w:p>
      <w:r>
        <w:t>Die öffentliche TeamSet-Webseite setzt keine Werbe-, Analyse- oder Social-Media-Tracker ein. Technisch notwendige Hostingprotokolle können IP-Adresse, Zeitpunkt, URL und Browserinformationen enthalten. Tokenhaltige Links werden nicht an Analyseanbieter übermittelt.</w:t>
      </w:r>
    </w:p>
    <w:p>
      <w:pPr>
        <w:pStyle w:val="Heading1"/>
      </w:pPr>
      <w:r>
        <w:t>11. Änderungen</w:t>
      </w:r>
    </w:p>
    <w:p>
      <w:r>
        <w:t>Diese Erklärung wird bei wesentlichen Änderungen von Datenflüssen, Zwecken oder Dienstleistern aktualisiert. Die jeweils aktuelle Fassung ist unter https://teamset.minutmate.com/datenschutz erreichbar.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A626C"/>
        <w:sz w:val="17"/>
      </w:rPr>
      <w:t>MinutMate · TeamSet · kontrollierte Fassung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color w:val="5A626C"/>
        <w:sz w:val="18"/>
      </w:rPr>
      <w:t>TeamSet | Datenschutzerklärung TeamSet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Datenschutzerklärung TeamSet</dc:title>
  <dc:subject>TeamSet Datenschutz-, Sicherheits- und Vertragsunterlagen</dc:subject>
  <dc:creator>MinutMate</dc:creator>
  <cp:keywords>TeamSet, DSGVO, Verein, Datenschutz, 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