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1F4D78"/>
          <w:sz w:val="48"/>
        </w:rPr>
        <w:t>Unterauftragnehmerliste TeamSet</w:t>
      </w:r>
    </w:p>
    <w:p>
      <w:pPr>
        <w:spacing w:after="280"/>
      </w:pPr>
      <w:r>
        <w:rPr>
          <w:rFonts w:ascii="Calibri" w:hAnsi="Calibri"/>
          <w:color w:val="5A626C"/>
          <w:sz w:val="26"/>
        </w:rPr>
        <w:t>Aktive technische Dienstleister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Produkt</w:t>
            </w:r>
          </w:p>
        </w:tc>
        <w:tc>
          <w:tcPr>
            <w:tcW w:type="dxa" w:w="7560"/>
            <w:vAlign w:val="center"/>
          </w:tcPr>
          <w:p>
            <w:r>
              <w:t>TeamSet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Stand</w:t>
            </w:r>
          </w:p>
        </w:tc>
        <w:tc>
          <w:tcPr>
            <w:tcW w:type="dxa" w:w="7560"/>
            <w:vAlign w:val="center"/>
          </w:tcPr>
          <w:p>
            <w:r>
              <w:t>24.08.2026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Verantwortlich</w:t>
            </w:r>
          </w:p>
        </w:tc>
        <w:tc>
          <w:tcPr>
            <w:tcW w:type="dxa" w:w="7560"/>
            <w:vAlign w:val="center"/>
          </w:tcPr>
          <w:p>
            <w:r>
              <w:t>Marcos Caprile Santos, handelnd unter MinutMate</w:t>
            </w:r>
          </w:p>
        </w:tc>
      </w:tr>
    </w:tbl>
    <w:p/>
    <w:p>
      <w:pPr>
        <w:pStyle w:val="Heading1"/>
      </w:pPr>
      <w:r>
        <w:t>Aktive Dienstleister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3600"/>
        <w:gridCol w:w="3160"/>
      </w:tblGrid>
      <w:tr>
        <w:trPr>
          <w:tblHeader w:val="true"/>
        </w:trPr>
        <w:tc>
          <w:tcPr>
            <w:tcW w:type="dxa" w:w="2600"/>
            <w:shd w:fill="F2F4F7"/>
          </w:tcPr>
          <w:p>
            <w:r>
              <w:rPr>
                <w:b/>
              </w:rPr>
              <w:t>Unterauftragnehmer</w:t>
            </w:r>
          </w:p>
        </w:tc>
        <w:tc>
          <w:tcPr>
            <w:tcW w:type="dxa" w:w="3600"/>
            <w:shd w:fill="F2F4F7"/>
          </w:tcPr>
          <w:p>
            <w:r>
              <w:rPr>
                <w:b/>
              </w:rPr>
              <w:t>Leistung</w:t>
            </w:r>
          </w:p>
        </w:tc>
        <w:tc>
          <w:tcPr>
            <w:tcW w:type="dxa" w:w="3160"/>
            <w:shd w:fill="F2F4F7"/>
          </w:tcPr>
          <w:p>
            <w:r>
              <w:rPr>
                <w:b/>
              </w:rPr>
              <w:t>Ort/Transfer</w:t>
            </w:r>
          </w:p>
        </w:tc>
      </w:tr>
      <w:tr>
        <w:tc>
          <w:tcPr>
            <w:tcW w:type="dxa" w:w="2600"/>
            <w:vAlign w:val="center"/>
          </w:tcPr>
          <w:p>
            <w:r>
              <w:t>ALL-INKL.COM – Neue Medien Münnich</w:t>
            </w:r>
          </w:p>
        </w:tc>
        <w:tc>
          <w:tcPr>
            <w:tcW w:type="dxa" w:w="3600"/>
            <w:vAlign w:val="center"/>
          </w:tcPr>
          <w:p>
            <w:r>
              <w:t>Domain, DNS, E-Mail, MariaDB</w:t>
            </w:r>
          </w:p>
        </w:tc>
        <w:tc>
          <w:tcPr>
            <w:tcW w:type="dxa" w:w="3160"/>
            <w:vAlign w:val="center"/>
          </w:tcPr>
          <w:p>
            <w:r>
              <w:t>Deutschland; vertragliche Anbieterangaben maßgeblich</w:t>
            </w:r>
          </w:p>
        </w:tc>
      </w:tr>
      <w:tr>
        <w:tc>
          <w:tcPr>
            <w:tcW w:type="dxa" w:w="2600"/>
            <w:vAlign w:val="center"/>
          </w:tcPr>
          <w:p>
            <w:r>
              <w:t>Railway Corporation</w:t>
            </w:r>
          </w:p>
        </w:tc>
        <w:tc>
          <w:tcPr>
            <w:tcW w:type="dxa" w:w="3600"/>
            <w:vAlign w:val="center"/>
          </w:tcPr>
          <w:p>
            <w:r>
              <w:t>API, Echtzeit, Jobs, Medienvolume</w:t>
            </w:r>
          </w:p>
        </w:tc>
        <w:tc>
          <w:tcPr>
            <w:tcW w:type="dxa" w:w="3160"/>
            <w:vAlign w:val="center"/>
          </w:tcPr>
          <w:p>
            <w:r>
              <w:t>EU West/Amsterdam; mögliche Supportzugriffe absichern</w:t>
            </w:r>
          </w:p>
        </w:tc>
      </w:tr>
      <w:tr>
        <w:tc>
          <w:tcPr>
            <w:tcW w:type="dxa" w:w="2600"/>
            <w:vAlign w:val="center"/>
          </w:tcPr>
          <w:p>
            <w:r>
              <w:t>Vercel Inc.</w:t>
            </w:r>
          </w:p>
        </w:tc>
        <w:tc>
          <w:tcPr>
            <w:tcW w:type="dxa" w:w="3600"/>
            <w:vAlign w:val="center"/>
          </w:tcPr>
          <w:p>
            <w:r>
              <w:t>öffentliche Webseite/CDN</w:t>
            </w:r>
          </w:p>
        </w:tc>
        <w:tc>
          <w:tcPr>
            <w:tcW w:type="dxa" w:w="3160"/>
            <w:vAlign w:val="center"/>
          </w:tcPr>
          <w:p>
            <w:r>
              <w:t>globale Auslieferung; geeigneter Transfermechanismus</w:t>
            </w:r>
          </w:p>
        </w:tc>
      </w:tr>
      <w:tr>
        <w:tc>
          <w:tcPr>
            <w:tcW w:type="dxa" w:w="2600"/>
            <w:vAlign w:val="center"/>
          </w:tcPr>
          <w:p>
            <w:r>
              <w:t>Resend Inc.</w:t>
            </w:r>
          </w:p>
        </w:tc>
        <w:tc>
          <w:tcPr>
            <w:tcW w:type="dxa" w:w="3600"/>
            <w:vAlign w:val="center"/>
          </w:tcPr>
          <w:p>
            <w:r>
              <w:t>transaktionale E-Mail</w:t>
            </w:r>
          </w:p>
        </w:tc>
        <w:tc>
          <w:tcPr>
            <w:tcW w:type="dxa" w:w="3160"/>
            <w:vAlign w:val="center"/>
          </w:tcPr>
          <w:p>
            <w:r>
              <w:t>anbieterabhängige Verarbeitung; geeigneter Transfermechanismus</w:t>
            </w:r>
          </w:p>
        </w:tc>
      </w:tr>
      <w:tr>
        <w:tc>
          <w:tcPr>
            <w:tcW w:type="dxa" w:w="2600"/>
            <w:vAlign w:val="center"/>
          </w:tcPr>
          <w:p>
            <w:r>
              <w:t>Google LLC / Firebase</w:t>
            </w:r>
          </w:p>
        </w:tc>
        <w:tc>
          <w:tcPr>
            <w:tcW w:type="dxa" w:w="3600"/>
            <w:vAlign w:val="center"/>
          </w:tcPr>
          <w:p>
            <w:r>
              <w:t>Cloud Messaging</w:t>
            </w:r>
          </w:p>
        </w:tc>
        <w:tc>
          <w:tcPr>
            <w:tcW w:type="dxa" w:w="3160"/>
            <w:vAlign w:val="center"/>
          </w:tcPr>
          <w:p>
            <w:r>
              <w:t>globale Push-Infrastruktur; geeigneter Transfermechanismus</w:t>
            </w:r>
          </w:p>
        </w:tc>
      </w:tr>
      <w:tr>
        <w:tc>
          <w:tcPr>
            <w:tcW w:type="dxa" w:w="2600"/>
            <w:vAlign w:val="center"/>
          </w:tcPr>
          <w:p>
            <w:r>
              <w:t>Apple Inc. / Google LLC</w:t>
            </w:r>
          </w:p>
        </w:tc>
        <w:tc>
          <w:tcPr>
            <w:tcW w:type="dxa" w:w="3600"/>
            <w:vAlign w:val="center"/>
          </w:tcPr>
          <w:p>
            <w:r>
              <w:t>App Store/Play und Push-Zustellung</w:t>
            </w:r>
          </w:p>
        </w:tc>
        <w:tc>
          <w:tcPr>
            <w:tcW w:type="dxa" w:w="3160"/>
            <w:vAlign w:val="center"/>
          </w:tcPr>
          <w:p>
            <w:r>
              <w:t>eigene Verantwortlichkeit und technische Empfänger</w:t>
            </w:r>
          </w:p>
        </w:tc>
      </w:tr>
    </w:tbl>
    <w:p/>
    <w:p>
      <w:pPr>
        <w:pStyle w:val="Heading1"/>
      </w:pPr>
      <w:r>
        <w:t>Änderungsverfahren</w:t>
      </w:r>
    </w:p>
    <w:p>
      <w:r>
        <w:t>Änderungen werden in der öffentlichen Liste unter https://teamset.minutmate.com/unterauftragnehmer mit angemessener Vorlaufzeit bekannt gemacht. Sicherheitsbedingt dringende Wechsel können kurzfristig erfolgen und werden dokumentiert.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A626C"/>
        <w:sz w:val="17"/>
      </w:rPr>
      <w:t>MinutMate · TeamSet · kontrollierte Fassung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color w:val="5A626C"/>
        <w:sz w:val="18"/>
      </w:rPr>
      <w:t>TeamSet | Unterauftragnehmerliste TeamSet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Unterauftragnehmerliste TeamSet</dc:title>
  <dc:subject>TeamSet Datenschutz-, Sicherheits- und Vertragsunterlagen</dc:subject>
  <dc:creator>MinutMate</dc:creator>
  <cp:keywords>TeamSet, DSGVO, Verein, Datenschutz, 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