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Lösch- und Aufbewahrungskonzept</w:t>
      </w:r>
    </w:p>
    <w:p>
      <w:pPr>
        <w:spacing w:after="280"/>
      </w:pPr>
      <w:r>
        <w:rPr>
          <w:rFonts w:ascii="Calibri" w:hAnsi="Calibri"/>
          <w:color w:val="5A626C"/>
          <w:sz w:val="26"/>
        </w:rPr>
        <w:t>TeamSet Live-System, Protokolle und Sicherungen</w:t>
      </w:r>
    </w:p>
    <w:tbl>
      <w:tblPr>
        <w:tblW w:type="dxa" w:w="9360"/>
        <w:tblLayout w:type="fixed"/>
        <w:tblLook w:firstColumn="1" w:firstRow="1" w:lastColumn="0" w:lastRow="0" w:noHBand="0" w:noVBand="1" w:val="04A0"/>
        <w:tblInd w:w="120" w:type="dxa"/>
      </w:tblPr>
      <w:tblGrid>
        <w:gridCol w:w="1800"/>
        <w:gridCol w:w="7560"/>
      </w:tblGrid>
      <w:tr>
        <w:tc>
          <w:tcPr>
            <w:tcW w:type="dxa" w:w="1800"/>
            <w:shd w:fill="F2F4F7"/>
            <w:vAlign w:val="center"/>
          </w:tcPr>
          <w:p>
            <w:r>
              <w:rPr>
                <w:b/>
              </w:rPr>
              <w:t>Produkt</w:t>
            </w:r>
          </w:p>
        </w:tc>
        <w:tc>
          <w:tcPr>
            <w:tcW w:type="dxa" w:w="7560"/>
            <w:vAlign w:val="center"/>
          </w:tcPr>
          <w:p>
            <w:r>
              <w:t>TeamSet</w:t>
            </w:r>
          </w:p>
        </w:tc>
      </w:tr>
      <w:tr>
        <w:tc>
          <w:tcPr>
            <w:tcW w:type="dxa" w:w="1800"/>
            <w:shd w:fill="F2F4F7"/>
            <w:vAlign w:val="center"/>
          </w:tcPr>
          <w:p>
            <w:r>
              <w:rPr>
                <w:b/>
              </w:rPr>
              <w:t>Stand</w:t>
            </w:r>
          </w:p>
        </w:tc>
        <w:tc>
          <w:tcPr>
            <w:tcW w:type="dxa" w:w="7560"/>
            <w:vAlign w:val="center"/>
          </w:tcPr>
          <w:p>
            <w:r>
              <w:t>24.08.2026</w:t>
            </w:r>
          </w:p>
        </w:tc>
      </w:tr>
      <w:tr>
        <w:tc>
          <w:tcPr>
            <w:tcW w:type="dxa" w:w="1800"/>
            <w:shd w:fill="F2F4F7"/>
            <w:vAlign w:val="center"/>
          </w:tcPr>
          <w:p>
            <w:r>
              <w:rPr>
                <w:b/>
              </w:rPr>
              <w:t>Verantwortlich</w:t>
            </w:r>
          </w:p>
        </w:tc>
        <w:tc>
          <w:tcPr>
            <w:tcW w:type="dxa" w:w="7560"/>
            <w:vAlign w:val="center"/>
          </w:tcPr>
          <w:p>
            <w:r>
              <w:t>Marcos Caprile Santos, handelnd unter MinutMate</w:t>
            </w:r>
          </w:p>
        </w:tc>
      </w:tr>
    </w:tbl>
    <w:p/>
    <w:p>
      <w:pPr>
        <w:pStyle w:val="Heading1"/>
      </w:pPr>
      <w:r>
        <w:t>Grundsätze</w:t>
      </w:r>
    </w:p>
    <w:p>
      <w:r>
        <w:t>Daten werden zweckgebunden, nach Datenklasse und nachvollziehbar gelöscht. Sperrung oder Anonymisierung ersetzt Löschung nur, wenn ein dokumentierter Zweck oder eine gesetzliche Pflicht fortbesteht.</w:t>
      </w:r>
    </w:p>
    <w:p>
      <w:pPr>
        <w:pStyle w:val="Heading1"/>
      </w:pPr>
      <w:r>
        <w:t>Fristen</w:t>
      </w:r>
    </w:p>
    <w:tbl>
      <w:tblPr>
        <w:tblW w:type="dxa" w:w="9360"/>
        <w:tblLayout w:type="fixed"/>
        <w:tblLook w:firstColumn="1" w:firstRow="1" w:lastColumn="0" w:lastRow="0" w:noHBand="0" w:noVBand="1" w:val="04A0"/>
        <w:tblInd w:w="120" w:type="dxa"/>
      </w:tblPr>
      <w:tblGrid>
        <w:gridCol w:w="3000"/>
        <w:gridCol w:w="6360"/>
      </w:tblGrid>
      <w:tr>
        <w:trPr>
          <w:tblHeader w:val="true"/>
        </w:trPr>
        <w:tc>
          <w:tcPr>
            <w:tcW w:type="dxa" w:w="3000"/>
            <w:shd w:fill="F2F4F7"/>
          </w:tcPr>
          <w:p>
            <w:r>
              <w:rPr>
                <w:b/>
              </w:rPr>
              <w:t>Datenklasse</w:t>
            </w:r>
          </w:p>
        </w:tc>
        <w:tc>
          <w:tcPr>
            <w:tcW w:type="dxa" w:w="6360"/>
            <w:shd w:fill="F2F4F7"/>
          </w:tcPr>
          <w:p>
            <w:r>
              <w:rPr>
                <w:b/>
              </w:rPr>
              <w:t>Regel</w:t>
            </w:r>
          </w:p>
        </w:tc>
      </w:tr>
      <w:tr>
        <w:tc>
          <w:tcPr>
            <w:tcW w:type="dxa" w:w="3000"/>
            <w:vAlign w:val="center"/>
          </w:tcPr>
          <w:p>
            <w:r>
              <w:t>Account und Kontakt</w:t>
            </w:r>
          </w:p>
        </w:tc>
        <w:tc>
          <w:tcPr>
            <w:tcW w:type="dxa" w:w="6360"/>
            <w:vAlign w:val="center"/>
          </w:tcPr>
          <w:p>
            <w:r>
              <w:t>sofort deaktiviert; nach 14 Tagen gelöscht/anonymisiert</w:t>
            </w:r>
          </w:p>
        </w:tc>
      </w:tr>
      <w:tr>
        <w:tc>
          <w:tcPr>
            <w:tcW w:type="dxa" w:w="3000"/>
            <w:vAlign w:val="center"/>
          </w:tcPr>
          <w:p>
            <w:r>
              <w:t>Aktive Mitgliedschaft</w:t>
            </w:r>
          </w:p>
        </w:tc>
        <w:tc>
          <w:tcPr>
            <w:tcW w:type="dxa" w:w="6360"/>
            <w:vAlign w:val="center"/>
          </w:tcPr>
          <w:p>
            <w:r>
              <w:t>bis Austritt/Entfernung; danach beendet und Zugriffsrechte entzogen</w:t>
            </w:r>
          </w:p>
        </w:tc>
      </w:tr>
      <w:tr>
        <w:tc>
          <w:tcPr>
            <w:tcW w:type="dxa" w:w="3000"/>
            <w:vAlign w:val="center"/>
          </w:tcPr>
          <w:p>
            <w:r>
              <w:t>Historische Teilnahme</w:t>
            </w:r>
          </w:p>
        </w:tc>
        <w:tc>
          <w:tcPr>
            <w:tcW w:type="dxa" w:w="6360"/>
            <w:vAlign w:val="center"/>
          </w:tcPr>
          <w:p>
            <w:r>
              <w:t>nur neutraler Anzeigename; Kontakt und private Gründe werden entfernt</w:t>
            </w:r>
          </w:p>
        </w:tc>
      </w:tr>
      <w:tr>
        <w:tc>
          <w:tcPr>
            <w:tcW w:type="dxa" w:w="3000"/>
            <w:vAlign w:val="center"/>
          </w:tcPr>
          <w:p>
            <w:r>
              <w:t>Sitzungen/Push-Token</w:t>
            </w:r>
          </w:p>
        </w:tc>
        <w:tc>
          <w:tcPr>
            <w:tcW w:type="dxa" w:w="6360"/>
            <w:vAlign w:val="center"/>
          </w:tcPr>
          <w:p>
            <w:r>
              <w:t>bei Widerruf oder Accountlöschung sofort; sonst Sitzung maximal 90 Tage</w:t>
            </w:r>
          </w:p>
        </w:tc>
      </w:tr>
      <w:tr>
        <w:tc>
          <w:tcPr>
            <w:tcW w:type="dxa" w:w="3000"/>
            <w:vAlign w:val="center"/>
          </w:tcPr>
          <w:p>
            <w:r>
              <w:t>Einmaltokens/Einladungen</w:t>
            </w:r>
          </w:p>
        </w:tc>
        <w:tc>
          <w:tcPr>
            <w:tcW w:type="dxa" w:w="6360"/>
            <w:vAlign w:val="center"/>
          </w:tcPr>
          <w:p>
            <w:r>
              <w:t>nach Ablauf oder Nutzung beim täglichen Cleanup</w:t>
            </w:r>
          </w:p>
        </w:tc>
      </w:tr>
      <w:tr>
        <w:tc>
          <w:tcPr>
            <w:tcW w:type="dxa" w:w="3000"/>
            <w:vAlign w:val="center"/>
          </w:tcPr>
          <w:p>
            <w:r>
              <w:t>Gelöschte Medien</w:t>
            </w:r>
          </w:p>
        </w:tc>
        <w:tc>
          <w:tcPr>
            <w:tcW w:type="dxa" w:w="6360"/>
            <w:vAlign w:val="center"/>
          </w:tcPr>
          <w:p>
            <w:r>
              <w:t>Tombstone sofort; physische Löschung beim täglichen Cleanup mit Wiederholung</w:t>
            </w:r>
          </w:p>
        </w:tc>
      </w:tr>
      <w:tr>
        <w:tc>
          <w:tcPr>
            <w:tcW w:type="dxa" w:w="3000"/>
            <w:vAlign w:val="center"/>
          </w:tcPr>
          <w:p>
            <w:r>
              <w:t>Audit/Sicherheitsfall</w:t>
            </w:r>
          </w:p>
        </w:tc>
        <w:tc>
          <w:tcPr>
            <w:tcW w:type="dxa" w:w="6360"/>
            <w:vAlign w:val="center"/>
          </w:tcPr>
          <w:p>
            <w:r>
              <w:t>zweckgebunden und zugriffsbeschränkt; regelmäßige Prüfung auf Erforderlichkeit</w:t>
            </w:r>
          </w:p>
        </w:tc>
      </w:tr>
      <w:tr>
        <w:tc>
          <w:tcPr>
            <w:tcW w:type="dxa" w:w="3000"/>
            <w:vAlign w:val="center"/>
          </w:tcPr>
          <w:p>
            <w:r>
              <w:t>Vertrags-/Rechnungsdaten</w:t>
            </w:r>
          </w:p>
        </w:tc>
        <w:tc>
          <w:tcPr>
            <w:tcW w:type="dxa" w:w="6360"/>
            <w:vAlign w:val="center"/>
          </w:tcPr>
          <w:p>
            <w:r>
              <w:t>gesetzliche handels- und steuerrechtliche Fristen</w:t>
            </w:r>
          </w:p>
        </w:tc>
      </w:tr>
    </w:tbl>
    <w:p/>
    <w:p>
      <w:pPr>
        <w:pStyle w:val="Heading1"/>
      </w:pPr>
      <w:r>
        <w:t>Sicherungen</w:t>
      </w:r>
    </w:p>
    <w:p>
      <w:r>
        <w:t>Sicherungen sind verschlüsselt, zugriffsbeschränkt und werden nach einem rollierenden Zeitplan überschrieben. Bei einer Wiederherstellung werden seit Sicherungszeitpunkt fällige Löschungen vor Freigabe des Systems erneut ausgeführt. Exporte und Übungsdaten werden nach dokumentiertem Abschluss sicher entfernt.</w:t>
      </w:r>
    </w:p>
    <w:p>
      <w:pPr>
        <w:pStyle w:val="Heading1"/>
      </w:pPr>
      <w:r>
        <w:t>Nachweis</w:t>
      </w:r>
    </w:p>
    <w:p>
      <w:r>
        <w:t>Cron-Ergebnisse und Löschaufträge werden datensparsam protokolliert. Fehlgeschlagene physische Löschungen bleiben als Tombstone sichtbar, werden erneut versucht und bei anhaltendem Fehler alarmiert.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626C"/>
        <w:sz w:val="17"/>
      </w:rPr>
      <w:t>MinutMate · TeamSet · kontrollierte Fassung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olor w:val="5A626C"/>
        <w:sz w:val="18"/>
      </w:rPr>
      <w:t>TeamSet | Lösch- und Aufbewahrungskonzept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Lösch- und Aufbewahrungskonzept</dc:title>
  <dc:subject>TeamSet Datenschutz-, Sicherheits- und Vertragsunterlagen</dc:subject>
  <dc:creator>MinutMate</dc:creator>
  <cp:keywords>TeamSet, DSGVO, Verein, Datenschutz, Sicherheit</cp:keywords>
  <dc:description>generated by python-docx</dc:description>
  <cp:lastModifiedBy/>
  <cp:revision>1</cp:revision>
  <dcterms:created xsi:type="dcterms:W3CDTF">2013-12-23T23:15:00Z</dcterms:created>
  <dcterms:modified xsi:type="dcterms:W3CDTF">2013-12-23T23:15:00Z</dcterms:modified>
  <cp:category/>
</cp:coreProperties>
</file>