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Verzeichnis von Verarbeitungstätigkeiten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TeamSet-Muster nach Art. 30 DSGVO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Verantwortlicher</w:t>
      </w:r>
    </w:p>
    <w:p>
      <w:r>
        <w:t>Marcos Caprile Santos, handelnd unter MinutMate, Heltorfer Mark 131, 40489 Düsseldorf, Deutschland; Datenschutzkontakt datenschutz@minutmate.com.</w:t>
      </w:r>
    </w:p>
    <w:p>
      <w:pPr>
        <w:pStyle w:val="Heading1"/>
      </w:pPr>
      <w:r>
        <w:t>Verarbeitungstätigkeiten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shd w:fill="F2F4F7"/>
          </w:tcPr>
          <w:p>
            <w:r>
              <w:rPr>
                <w:b/>
              </w:rPr>
              <w:t>Tätigkeit</w:t>
            </w:r>
          </w:p>
        </w:tc>
        <w:tc>
          <w:tcPr>
            <w:tcW w:type="dxa" w:w="6860"/>
            <w:shd w:fill="F2F4F7"/>
          </w:tcPr>
          <w:p>
            <w:r>
              <w:rPr>
                <w:b/>
              </w:rPr>
              <w:t>Zweck / Daten / Empfänger</w:t>
            </w:r>
          </w:p>
        </w:tc>
      </w:tr>
      <w:tr>
        <w:tc>
          <w:tcPr>
            <w:tcW w:type="dxa" w:w="2500"/>
            <w:vAlign w:val="center"/>
          </w:tcPr>
          <w:p>
            <w:r>
              <w:t>Account und Authentifizierung</w:t>
            </w:r>
          </w:p>
        </w:tc>
        <w:tc>
          <w:tcPr>
            <w:tcW w:type="dxa" w:w="6860"/>
            <w:vAlign w:val="center"/>
          </w:tcPr>
          <w:p>
            <w:r>
              <w:t>Vertrag/Sicherheit; Name, E-Mail, Hash, Sitzungen; ALL-INKL, Railway, Resend</w:t>
            </w:r>
          </w:p>
        </w:tc>
      </w:tr>
      <w:tr>
        <w:tc>
          <w:tcPr>
            <w:tcW w:type="dxa" w:w="2500"/>
            <w:vAlign w:val="center"/>
          </w:tcPr>
          <w:p>
            <w:r>
              <w:t>Vereins- und Teamorganisation</w:t>
            </w:r>
          </w:p>
        </w:tc>
        <w:tc>
          <w:tcPr>
            <w:tcW w:type="dxa" w:w="6860"/>
            <w:vAlign w:val="center"/>
          </w:tcPr>
          <w:p>
            <w:r>
              <w:t>Mitgliedschaft/Rollen; Name, Kontakt, Club/Team; ALL-INKL, Railway</w:t>
            </w:r>
          </w:p>
        </w:tc>
      </w:tr>
      <w:tr>
        <w:tc>
          <w:tcPr>
            <w:tcW w:type="dxa" w:w="2500"/>
            <w:vAlign w:val="center"/>
          </w:tcPr>
          <w:p>
            <w:r>
              <w:t>Termine und Teilnahme</w:t>
            </w:r>
          </w:p>
        </w:tc>
        <w:tc>
          <w:tcPr>
            <w:tcW w:type="dxa" w:w="6860"/>
            <w:vAlign w:val="center"/>
          </w:tcPr>
          <w:p>
            <w:r>
              <w:t>Planung; Termin, RSVP, optionaler Grund; ALL-INKL, Railway, Pushanbieter</w:t>
            </w:r>
          </w:p>
        </w:tc>
      </w:tr>
      <w:tr>
        <w:tc>
          <w:tcPr>
            <w:tcW w:type="dxa" w:w="2500"/>
            <w:vAlign w:val="center"/>
          </w:tcPr>
          <w:p>
            <w:r>
              <w:t>Medien</w:t>
            </w:r>
          </w:p>
        </w:tc>
        <w:tc>
          <w:tcPr>
            <w:tcW w:type="dxa" w:w="6860"/>
            <w:vAlign w:val="center"/>
          </w:tcPr>
          <w:p>
            <w:r>
              <w:t>Profil/Vereinsdarstellung; validierte Bilder; Railway-Volume</w:t>
            </w:r>
          </w:p>
        </w:tc>
      </w:tr>
      <w:tr>
        <w:tc>
          <w:tcPr>
            <w:tcW w:type="dxa" w:w="2500"/>
            <w:vAlign w:val="center"/>
          </w:tcPr>
          <w:p>
            <w:r>
              <w:t>Support und Sicherheit</w:t>
            </w:r>
          </w:p>
        </w:tc>
        <w:tc>
          <w:tcPr>
            <w:tcW w:type="dxa" w:w="6860"/>
            <w:vAlign w:val="center"/>
          </w:tcPr>
          <w:p>
            <w:r>
              <w:t>Fehlerhilfe/Missbrauchsschutz; Anfrage, Audit, minimierte technische Daten; Anbieter-Support bei Bedarf</w:t>
            </w:r>
          </w:p>
        </w:tc>
      </w:tr>
      <w:tr>
        <w:tc>
          <w:tcPr>
            <w:tcW w:type="dxa" w:w="2500"/>
            <w:vAlign w:val="center"/>
          </w:tcPr>
          <w:p>
            <w:r>
              <w:t>Vertrag und Abrechnung</w:t>
            </w:r>
          </w:p>
        </w:tc>
        <w:tc>
          <w:tcPr>
            <w:tcW w:type="dxa" w:w="6860"/>
            <w:vAlign w:val="center"/>
          </w:tcPr>
          <w:p>
            <w:r>
              <w:t>Geschäftsabwicklung; Ansprechpartner, Vertrag, Rechnung; Steuer-/Zahlungsempfänger nach Erfordernis</w:t>
            </w:r>
          </w:p>
        </w:tc>
      </w:tr>
    </w:tbl>
    <w:p/>
    <w:p>
      <w:pPr>
        <w:pStyle w:val="Heading1"/>
      </w:pPr>
      <w:r>
        <w:t>Fristen und Schutz</w:t>
      </w:r>
    </w:p>
    <w:p>
      <w:r>
        <w:t>Fristen ergeben sich aus Löschkonzept; Schutzmaßnahmen aus TOMs. Transfers und Dienstleister werden in der Unterauftragnehmerliste dokumentiert.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Verzeichnis von Verarbeitungstätigkeiten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von Verarbeitungstätigkeiten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