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Calibri" w:hAnsi="Calibri"/>
          <w:b/>
          <w:color w:val="1F4D78"/>
          <w:sz w:val="48"/>
        </w:rPr>
        <w:t>Prozess bei Datenschutzverletzungen</w:t>
      </w:r>
    </w:p>
    <w:p>
      <w:pPr>
        <w:spacing w:after="280"/>
      </w:pPr>
      <w:r>
        <w:rPr>
          <w:rFonts w:ascii="Calibri" w:hAnsi="Calibri"/>
          <w:color w:val="5A626C"/>
          <w:sz w:val="26"/>
        </w:rPr>
        <w:t>Erkennung, Eindämmung, Meldung und Nachbereitung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shd w:fill="F2F4F7"/>
            <w:vAlign w:val="center"/>
          </w:tcPr>
          <w:p>
            <w:r>
              <w:rPr>
                <w:b/>
              </w:rPr>
              <w:t>Produkt</w:t>
            </w:r>
          </w:p>
        </w:tc>
        <w:tc>
          <w:tcPr>
            <w:tcW w:type="dxa" w:w="7560"/>
            <w:vAlign w:val="center"/>
          </w:tcPr>
          <w:p>
            <w:r>
              <w:t>TeamSet</w:t>
            </w:r>
          </w:p>
        </w:tc>
      </w:tr>
      <w:tr>
        <w:tc>
          <w:tcPr>
            <w:tcW w:type="dxa" w:w="1800"/>
            <w:shd w:fill="F2F4F7"/>
            <w:vAlign w:val="center"/>
          </w:tcPr>
          <w:p>
            <w:r>
              <w:rPr>
                <w:b/>
              </w:rPr>
              <w:t>Stand</w:t>
            </w:r>
          </w:p>
        </w:tc>
        <w:tc>
          <w:tcPr>
            <w:tcW w:type="dxa" w:w="7560"/>
            <w:vAlign w:val="center"/>
          </w:tcPr>
          <w:p>
            <w:r>
              <w:t>24.08.2026</w:t>
            </w:r>
          </w:p>
        </w:tc>
      </w:tr>
      <w:tr>
        <w:tc>
          <w:tcPr>
            <w:tcW w:type="dxa" w:w="1800"/>
            <w:shd w:fill="F2F4F7"/>
            <w:vAlign w:val="center"/>
          </w:tcPr>
          <w:p>
            <w:r>
              <w:rPr>
                <w:b/>
              </w:rPr>
              <w:t>Verantwortlich</w:t>
            </w:r>
          </w:p>
        </w:tc>
        <w:tc>
          <w:tcPr>
            <w:tcW w:type="dxa" w:w="7560"/>
            <w:vAlign w:val="center"/>
          </w:tcPr>
          <w:p>
            <w:r>
              <w:t>Marcos Caprile Santos, handelnd unter MinutMate</w:t>
            </w:r>
          </w:p>
        </w:tc>
      </w:tr>
    </w:tbl>
    <w:p/>
    <w:p>
      <w:pPr>
        <w:pStyle w:val="Heading1"/>
      </w:pPr>
      <w:r>
        <w:t>Sofortmaßnahmen</w:t>
      </w:r>
    </w:p>
    <w:p>
      <w:pPr>
        <w:pStyle w:val="ListNumber"/>
        <w:spacing w:after="160"/>
        <w:ind w:left="720" w:hanging="360"/>
      </w:pPr>
      <w:r>
        <w:t>Vorfallzeit, Systeme und Meldeweg erfassen; verantwortliche Einsatzleitung benennen.</w:t>
      </w:r>
    </w:p>
    <w:p>
      <w:pPr>
        <w:pStyle w:val="ListNumber"/>
        <w:spacing w:after="160"/>
        <w:ind w:left="720" w:hanging="360"/>
      </w:pPr>
      <w:r>
        <w:t>Zugänge sperren, Schlüssel rotieren, betroffene Funktion isolieren und Beweise geschützt sichern.</w:t>
      </w:r>
    </w:p>
    <w:p>
      <w:pPr>
        <w:pStyle w:val="ListNumber"/>
        <w:spacing w:after="160"/>
        <w:ind w:left="720" w:hanging="360"/>
      </w:pPr>
      <w:r>
        <w:t>Datenarten, Personen, Umfang, Zeitraum und mögliche Folgen bewerten.</w:t>
      </w:r>
    </w:p>
    <w:p>
      <w:pPr>
        <w:pStyle w:val="ListNumber"/>
        <w:spacing w:after="160"/>
        <w:ind w:left="720" w:hanging="360"/>
      </w:pPr>
      <w:r>
        <w:t>Rechtsbewertung und 72-Stunden-Frist ab Kenntnis dokumentieren.</w:t>
      </w:r>
    </w:p>
    <w:p>
      <w:pPr>
        <w:pStyle w:val="ListNumber"/>
        <w:spacing w:after="160"/>
        <w:ind w:left="720" w:hanging="360"/>
      </w:pPr>
      <w:r>
        <w:t>Aufsicht und Betroffene informieren, wenn die gesetzlichen Schwellen erreicht sind.</w:t>
      </w:r>
    </w:p>
    <w:p>
      <w:pPr>
        <w:pStyle w:val="ListNumber"/>
        <w:spacing w:after="160"/>
        <w:ind w:left="720" w:hanging="360"/>
      </w:pPr>
      <w:r>
        <w:t>Ursache beheben, Wiederherstellung prüfen und Wirksamkeit überwachen.</w:t>
      </w:r>
    </w:p>
    <w:p>
      <w:pPr>
        <w:pStyle w:val="Heading1"/>
      </w:pPr>
      <w:r>
        <w:t>Auftragsverarbeitung</w:t>
      </w:r>
    </w:p>
    <w:p>
      <w:r>
        <w:t>Ist ein Verein Verantwortlicher und MinutMate Auftragsverarbeiter, informiert MinutMate den benannten Kontakt unverzüglich mit den verfügbaren Tatsachen und unterstützt fortlaufend. MinutMate gibt keine ungesicherten Spekulationen als Tatsachen weiter.</w:t>
      </w:r>
    </w:p>
    <w:p>
      <w:pPr>
        <w:pStyle w:val="Heading1"/>
      </w:pPr>
      <w:r>
        <w:t>Dokumentation</w:t>
      </w:r>
    </w:p>
    <w:p>
      <w:r>
        <w:t>Jeder Vorfall wird unabhängig von einer Meldung mit Ursache, Folgen, Entscheidung, Kommunikation, Maßnahmen und Abschlussprüfung dokumentiert. Erkenntnisse fließen in TOMs, Tests, Monitoring und Schulung ein.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5A626C"/>
        <w:sz w:val="17"/>
      </w:rPr>
      <w:t>MinutMate · TeamSet · kontrollierte Fassung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color w:val="5A626C"/>
        <w:sz w:val="18"/>
      </w:rPr>
      <w:t>TeamSet | Prozess bei Datenschutzverletzungen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Prozess bei Datenschutzverletzungen</dc:title>
  <dc:subject>TeamSet Datenschutz-, Sicherheits- und Vertragsunterlagen</dc:subject>
  <dc:creator>MinutMate</dc:creator>
  <cp:keywords>TeamSet, DSGVO, Verein, Datenschutz, Sicherheit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